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bookmarkStart w:id="0" w:name="_GoBack"/>
      <w:bookmarkEnd w:id="0"/>
      <w:r w:rsidRPr="00E7126B">
        <w:rPr>
          <w:rStyle w:val="a4"/>
          <w:color w:val="000000"/>
          <w:bdr w:val="none" w:sz="0" w:space="0" w:color="auto" w:frame="1"/>
        </w:rPr>
        <w:t>Кредитная поддержка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</w:t>
      </w:r>
      <w:r w:rsidRPr="00E7126B">
        <w:rPr>
          <w:rStyle w:val="apple-converted-space"/>
          <w:color w:val="000000"/>
        </w:rPr>
        <w:t> </w:t>
      </w:r>
      <w:hyperlink r:id="rId5" w:history="1">
        <w:r w:rsidRPr="00E7126B">
          <w:rPr>
            <w:rStyle w:val="a5"/>
            <w:b/>
            <w:bCs/>
            <w:color w:val="037C35"/>
            <w:bdr w:val="none" w:sz="0" w:space="0" w:color="auto" w:frame="1"/>
          </w:rPr>
          <w:t>соответствие</w:t>
        </w:r>
      </w:hyperlink>
      <w:r w:rsidRPr="00E7126B">
        <w:rPr>
          <w:color w:val="000000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Особое внимание МСП Банк уделяет развитию таких сегментов, как:</w:t>
      </w:r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6" w:anchor="4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представители малого и среднего бизнеса, ведущие свою деятельность в приоритетных отраслях экономики</w:t>
        </w:r>
      </w:hyperlink>
      <w:r w:rsidR="00534EC0"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7" w:anchor="1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сельскохозяйственные кооперативы</w:t>
        </w:r>
      </w:hyperlink>
      <w:r w:rsidR="00534EC0"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8" w:anchor="2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="00534EC0"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9" w:anchor="7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представители малого и среднего бизнеса, ведущие свою деятельность в моногородах</w:t>
        </w:r>
      </w:hyperlink>
      <w:r w:rsidR="00534EC0" w:rsidRPr="00E7126B">
        <w:rPr>
          <w:color w:val="000000"/>
          <w:u w:val="single"/>
          <w:bdr w:val="none" w:sz="0" w:space="0" w:color="auto" w:frame="1"/>
        </w:rPr>
        <w:t>;</w:t>
      </w:r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0" w:anchor="3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женщины-предприниматели</w:t>
        </w:r>
      </w:hyperlink>
      <w:r w:rsidR="00534EC0" w:rsidRPr="00E7126B">
        <w:rPr>
          <w:color w:val="000000"/>
          <w:u w:val="single"/>
          <w:bdr w:val="none" w:sz="0" w:space="0" w:color="auto" w:frame="1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Кредитные продукты по Программе стимулирования кредитования субъектов МСП.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 xml:space="preserve">Программа стимулирования кредитования субъектов малого и среднего предпринимательства— </w:t>
      </w:r>
      <w:proofErr w:type="gramStart"/>
      <w:r w:rsidRPr="00E7126B">
        <w:rPr>
          <w:color w:val="000000"/>
        </w:rPr>
        <w:t>го</w:t>
      </w:r>
      <w:proofErr w:type="gramEnd"/>
      <w:r w:rsidRPr="00E7126B">
        <w:rPr>
          <w:color w:val="000000"/>
        </w:rPr>
        <w:t>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Инвестиционный проект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25-500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proofErr w:type="gramStart"/>
      <w:r w:rsidRPr="00E7126B">
        <w:rPr>
          <w:color w:val="000000"/>
        </w:rPr>
        <w:t>  :</w:t>
      </w:r>
      <w:proofErr w:type="gramEnd"/>
      <w:r w:rsidRPr="00E7126B">
        <w:rPr>
          <w:color w:val="000000"/>
        </w:rPr>
        <w:t xml:space="preserve"> не более 84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9,1%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t>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E7126B">
        <w:rPr>
          <w:color w:val="000000"/>
        </w:rPr>
        <w:t>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E7126B">
        <w:rPr>
          <w:color w:val="000000"/>
        </w:rPr>
        <w:br/>
      </w:r>
      <w:proofErr w:type="spellStart"/>
      <w:r w:rsidRPr="00E7126B">
        <w:rPr>
          <w:color w:val="000000"/>
          <w:u w:val="single"/>
          <w:bdr w:val="none" w:sz="0" w:space="0" w:color="auto" w:frame="1"/>
        </w:rPr>
        <w:t>Формакредитования</w:t>
      </w:r>
      <w:proofErr w:type="spellEnd"/>
      <w:r w:rsidRPr="00E7126B">
        <w:rPr>
          <w:color w:val="000000"/>
        </w:rPr>
        <w:t>: кредитная линия с лимитом выдачи.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9,6% годовых,</w:t>
      </w:r>
      <w:r w:rsidRPr="00E7126B">
        <w:rPr>
          <w:color w:val="000000"/>
        </w:rPr>
        <w:br/>
        <w:t>в рамках Программы стимулирования МСП - для субъектов малого бизнеса – 10,1% годовых, для субъектов среднего бизнеса – 9,1%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Инвестиционный кредит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lastRenderedPageBreak/>
        <w:t>Финансирование инвестиций, направленных на создание или приобретение основных средств.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5-25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proofErr w:type="gramStart"/>
      <w:r w:rsidRPr="00E7126B">
        <w:rPr>
          <w:color w:val="000000"/>
        </w:rPr>
        <w:t>  :</w:t>
      </w:r>
      <w:proofErr w:type="gramEnd"/>
      <w:r w:rsidRPr="00E7126B">
        <w:rPr>
          <w:color w:val="000000"/>
        </w:rPr>
        <w:t xml:space="preserve"> не более 60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9,1%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7126B">
        <w:rPr>
          <w:color w:val="000000"/>
          <w:u w:val="single"/>
          <w:bdr w:val="none" w:sz="0" w:space="0" w:color="auto" w:frame="1"/>
        </w:rPr>
        <w:t>Цель кредита: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t>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E7126B">
        <w:rPr>
          <w:color w:val="000000"/>
        </w:rPr>
        <w:t>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9,6% годовых,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в рамках Программы стимулирования МСП - для субъектов малого бизнеса – 10,1% годовых, для субъектов среднего бизнеса – 9,1%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Приоритет — Оборотный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25-500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25 до 250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рублей.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кредит/кредитная линия с лимитом выдачи/кредитная           линия с лимитом задолженности.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10,1% годовых,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в рамках Программы стимулирования МСП - для субъектов малого бизнеса – 10,6% годовых, для субъектов среднего бизнеса – 9,6%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 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Экспресс — Оборотный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5-25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 xml:space="preserve">Сумма </w:t>
      </w:r>
      <w:proofErr w:type="spellStart"/>
      <w:r w:rsidRPr="00E7126B">
        <w:rPr>
          <w:color w:val="000000"/>
          <w:u w:val="single"/>
          <w:bdr w:val="none" w:sz="0" w:space="0" w:color="auto" w:frame="1"/>
        </w:rPr>
        <w:t>кредита</w:t>
      </w:r>
      <w:proofErr w:type="gramStart"/>
      <w:r w:rsidRPr="00E7126B">
        <w:rPr>
          <w:color w:val="000000"/>
        </w:rPr>
        <w:t>:с</w:t>
      </w:r>
      <w:proofErr w:type="gramEnd"/>
      <w:r w:rsidRPr="00E7126B">
        <w:rPr>
          <w:color w:val="000000"/>
        </w:rPr>
        <w:t>умма</w:t>
      </w:r>
      <w:proofErr w:type="spellEnd"/>
      <w:r w:rsidRPr="00E7126B">
        <w:rPr>
          <w:color w:val="000000"/>
        </w:rPr>
        <w:t xml:space="preserve"> кредита – от 5 до 25 млн рублей.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кредит/кредитная линия с лимитом выдачи/кредитная линия с лимитом задолженности.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10,1% годовых,</w:t>
      </w:r>
      <w:r w:rsidRPr="00E7126B">
        <w:rPr>
          <w:color w:val="000000"/>
        </w:rPr>
        <w:br/>
      </w:r>
      <w:r w:rsidRPr="00E7126B">
        <w:rPr>
          <w:color w:val="000000"/>
        </w:rPr>
        <w:lastRenderedPageBreak/>
        <w:t>в рамках Программы стимулирования МСП - для субъектов малого бизнеса – 10,6% годовых, для субъектов среднего бизнеса – 9,6% годовых.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7126B">
        <w:rPr>
          <w:rStyle w:val="a4"/>
          <w:color w:val="000000"/>
          <w:bdr w:val="none" w:sz="0" w:space="0" w:color="auto" w:frame="1"/>
        </w:rPr>
        <w:t>Госконтракт</w:t>
      </w:r>
      <w:proofErr w:type="spellEnd"/>
      <w:r w:rsidRPr="00E7126B">
        <w:rPr>
          <w:rStyle w:val="a4"/>
          <w:color w:val="000000"/>
          <w:bdr w:val="none" w:sz="0" w:space="0" w:color="auto" w:frame="1"/>
        </w:rPr>
        <w:t xml:space="preserve"> — Оборотный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Финансовая поддержка субъектов МСП, исполняющих контракты в рамках федеральных законов №223 и №44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5-500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финансирование расходов, связанных с исполнением контрактов в рамках федеральных законов №44-ФЗ и №223-ФЗ.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При сумме кредита до 25 млн. рублей в залог берутся только будущие поступления по контракту.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>: 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proofErr w:type="gramStart"/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- от 5 млн. руб. до 25 млн. руб. (включительно) – до 12 месяцев, но не более срока действия контракта, увеличенного на 90 дней;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proofErr w:type="gramEnd"/>
      <w:r w:rsidRPr="00E7126B">
        <w:rPr>
          <w:color w:val="000000"/>
        </w:rPr>
        <w:t>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         на общих условиях составляет от 10,1% годовых, в рамках Программы стимулирования МСП - для субъектов малого бизнеса – 10,6% годовых, для субъектов среднего бизнеса – 9,6% годовых.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E7126B">
        <w:rPr>
          <w:rStyle w:val="a4"/>
          <w:color w:val="000000"/>
          <w:bdr w:val="none" w:sz="0" w:space="0" w:color="auto" w:frame="1"/>
        </w:rPr>
        <w:t>Уникальные кредитные продукты МСП Банка.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Кредитные продукты, содержащие специальный сегмент «Женское предпринимательство» 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 xml:space="preserve">В кредитной линейке МСП Банка представлены 2 продукта, каждый из которых направлен на </w:t>
      </w:r>
      <w:proofErr w:type="gramStart"/>
      <w:r w:rsidRPr="00E7126B">
        <w:rPr>
          <w:color w:val="000000"/>
        </w:rPr>
        <w:t>кредитование</w:t>
      </w:r>
      <w:proofErr w:type="gramEnd"/>
      <w:r w:rsidRPr="00E7126B">
        <w:rPr>
          <w:color w:val="000000"/>
        </w:rPr>
        <w:t xml:space="preserve"> как на общих условиях, так и в рамках специального сегмента «Женское предпринимательство».</w:t>
      </w:r>
      <w:r w:rsidRPr="00E7126B">
        <w:rPr>
          <w:color w:val="000000"/>
        </w:rPr>
        <w:br/>
      </w:r>
      <w:r w:rsidRPr="00E7126B">
        <w:rPr>
          <w:color w:val="000000"/>
        </w:rPr>
        <w:br/>
      </w:r>
      <w:r w:rsidRPr="00E7126B">
        <w:rPr>
          <w:rStyle w:val="a4"/>
          <w:color w:val="000000"/>
          <w:bdr w:val="none" w:sz="0" w:space="0" w:color="auto" w:frame="1"/>
        </w:rPr>
        <w:t>Финансирование на общих условиях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t>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E7126B">
        <w:rPr>
          <w:color w:val="000000"/>
        </w:rPr>
        <w:br/>
      </w:r>
      <w:r w:rsidRPr="00E7126B">
        <w:rPr>
          <w:color w:val="000000"/>
        </w:rPr>
        <w:br/>
      </w:r>
      <w:r w:rsidRPr="00E7126B">
        <w:rPr>
          <w:rStyle w:val="a4"/>
          <w:color w:val="000000"/>
          <w:bdr w:val="none" w:sz="0" w:space="0" w:color="auto" w:frame="1"/>
        </w:rPr>
        <w:t>Финансирование в рамках сегмента «Женское предпринимательство» могут получить:              </w:t>
      </w:r>
      <w:r w:rsidRPr="00E7126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7126B">
        <w:rPr>
          <w:b/>
          <w:bCs/>
          <w:color w:val="000000"/>
          <w:bdr w:val="none" w:sz="0" w:space="0" w:color="auto" w:frame="1"/>
        </w:rPr>
        <w:br/>
      </w:r>
      <w:r w:rsidRPr="00E7126B">
        <w:rPr>
          <w:color w:val="000000"/>
        </w:rPr>
        <w:t xml:space="preserve">юридические лица, являющиеся обществами с ограниченной ответственностью и индивидуальные предприниматели, при </w:t>
      </w:r>
      <w:proofErr w:type="gramStart"/>
      <w:r w:rsidRPr="00E7126B">
        <w:rPr>
          <w:color w:val="000000"/>
        </w:rPr>
        <w:t>условии</w:t>
      </w:r>
      <w:proofErr w:type="gramEnd"/>
      <w:r w:rsidRPr="00E7126B">
        <w:rPr>
          <w:color w:val="000000"/>
        </w:rPr>
        <w:t xml:space="preserve"> что единоличным исполнительным органом для ООО и индивидуальным предпринимателем для ИП является женщина.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E7126B">
        <w:rPr>
          <w:color w:val="000000"/>
        </w:rPr>
        <w:br/>
        <w:t xml:space="preserve">- </w:t>
      </w:r>
      <w:proofErr w:type="gramStart"/>
      <w:r w:rsidRPr="00E7126B">
        <w:rPr>
          <w:color w:val="000000"/>
        </w:rPr>
        <w:t>обучения по программам</w:t>
      </w:r>
      <w:proofErr w:type="gramEnd"/>
      <w:r w:rsidRPr="00E7126B">
        <w:rPr>
          <w:color w:val="000000"/>
        </w:rPr>
        <w:t xml:space="preserve"> тренингов для субъектов МСП АО «Корпорация «МСП», в том числе «Мама – предприниматель»;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- консультационной поддержки через портал Бизнес-навигатора МСП.</w:t>
      </w:r>
      <w:r w:rsidRPr="00E7126B">
        <w:rPr>
          <w:color w:val="000000"/>
        </w:rPr>
        <w:br/>
      </w:r>
      <w:r w:rsidRPr="00E7126B">
        <w:rPr>
          <w:color w:val="000000"/>
        </w:rPr>
        <w:lastRenderedPageBreak/>
        <w:br/>
      </w:r>
      <w:r w:rsidRPr="00E7126B">
        <w:rPr>
          <w:rStyle w:val="a4"/>
          <w:color w:val="000000"/>
          <w:bdr w:val="none" w:sz="0" w:space="0" w:color="auto" w:frame="1"/>
        </w:rPr>
        <w:t>Экспресс на текущие цели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Пополнение оборотных средств, финансирование текущей деятельности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1-5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12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10,1%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средств, финансирование текущих расходов (включая выплату заработной платы и пр. платежи, за исключением уплаты налогов и сборов).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1 до 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рублей.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не более 12 месяцев.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 на общих условиях составляет от 10,1% годовых,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в рамках сегмента «Женское предпринимательство» - 10,6% годовых.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Экспресс на инвестиции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Финансирование инвестиций, направленных на создание или приобретение основных средств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1-15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36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9,6%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приобретение и/или ремонт и/или модернизация основных средств (машин, оборудования, зданий, сооружений, помещений, земельных участков и т.д.).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1 до 15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рублей.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кредитования</w:t>
      </w:r>
      <w:r w:rsidRPr="00E7126B">
        <w:rPr>
          <w:color w:val="000000"/>
        </w:rPr>
        <w:t>: не более 36 месяцев.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Процентная ставка</w:t>
      </w:r>
      <w:r w:rsidRPr="00E7126B">
        <w:rPr>
          <w:color w:val="000000"/>
        </w:rPr>
        <w:t>:         на общих условиях составляет от 9,6% годовых,</w:t>
      </w:r>
      <w:r w:rsidRPr="00E7126B">
        <w:rPr>
          <w:color w:val="000000"/>
        </w:rPr>
        <w:br/>
        <w:t>в рамках сегмента «Женское предпринимательство» - 10,6% годовых.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34D6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7126B">
        <w:rPr>
          <w:rStyle w:val="a4"/>
          <w:color w:val="000000"/>
          <w:bdr w:val="none" w:sz="0" w:space="0" w:color="auto" w:frame="1"/>
        </w:rPr>
        <w:t>Кредитная поддержка сельскохозяйственной кооперации.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В кредитной линейке МСП Банка представлены 3 продукта, направленные на оказание поддержки сельскохозяйственным кооперативам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Кооперация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1-10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12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5%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1 до 10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 (включительно).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кредита</w:t>
      </w:r>
      <w:r w:rsidRPr="00E7126B">
        <w:rPr>
          <w:color w:val="000000"/>
        </w:rPr>
        <w:t>: не более 12 месяцев.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Ставка при кредитовании</w:t>
      </w:r>
      <w:r w:rsidRPr="00E7126B">
        <w:rPr>
          <w:color w:val="000000"/>
        </w:rPr>
        <w:t xml:space="preserve">: для субъектов малого бизнеса – 10,6% годовых, для субъектов среднего бизнеса – 9,6% годовых, при </w:t>
      </w:r>
      <w:proofErr w:type="spellStart"/>
      <w:r w:rsidRPr="00E7126B">
        <w:rPr>
          <w:color w:val="000000"/>
        </w:rPr>
        <w:t>субсидированиипроцентной</w:t>
      </w:r>
      <w:proofErr w:type="spellEnd"/>
      <w:r w:rsidRPr="00E7126B">
        <w:rPr>
          <w:color w:val="000000"/>
        </w:rPr>
        <w:t xml:space="preserve"> ставки по программам </w:t>
      </w:r>
      <w:r w:rsidRPr="00E7126B">
        <w:rPr>
          <w:color w:val="000000"/>
        </w:rPr>
        <w:lastRenderedPageBreak/>
        <w:t>Минсельхоза Российской Федерации процентная ставка –5% годовых.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7126B">
        <w:rPr>
          <w:rStyle w:val="a4"/>
          <w:color w:val="000000"/>
          <w:bdr w:val="none" w:sz="0" w:space="0" w:color="auto" w:frame="1"/>
        </w:rPr>
        <w:t>Агропарк</w:t>
      </w:r>
      <w:proofErr w:type="spellEnd"/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3-500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84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5%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пуско-наладочных работ, выплату заработной платы и пр. платежи (не более 30% от величины кредита).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3 до 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 (включительно).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кредита</w:t>
      </w:r>
      <w:r w:rsidRPr="00E7126B">
        <w:rPr>
          <w:color w:val="000000"/>
        </w:rPr>
        <w:t>: не более 84 месяцев.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Ставка при кредитовании</w:t>
      </w:r>
      <w:r w:rsidRPr="00E7126B">
        <w:rPr>
          <w:color w:val="000000"/>
        </w:rPr>
        <w:t>: для субъектов малого бизнеса – 9,9% годовых, для субъектов среднего бизнеса – 8,9% годовых, при субсидировании процентной ставки по программам Минсельхоза Российской Федерации процентная ставка – 5% годовых.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7126B">
        <w:rPr>
          <w:rStyle w:val="a4"/>
          <w:color w:val="000000"/>
          <w:bdr w:val="none" w:sz="0" w:space="0" w:color="auto" w:frame="1"/>
        </w:rPr>
        <w:t>Предэкспорт</w:t>
      </w:r>
      <w:proofErr w:type="spellEnd"/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</w:t>
      </w:r>
      <w:r w:rsidRPr="00E7126B">
        <w:rPr>
          <w:color w:val="000000"/>
        </w:rPr>
        <w:t xml:space="preserve">: 3-500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Срок</w:t>
      </w:r>
      <w:r w:rsidRPr="00E7126B">
        <w:rPr>
          <w:color w:val="000000"/>
        </w:rPr>
        <w:t>: не более 12 месяцев.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Ставка</w:t>
      </w:r>
      <w:r w:rsidRPr="00E7126B">
        <w:rPr>
          <w:color w:val="000000"/>
        </w:rPr>
        <w:t xml:space="preserve">: от 5% </w:t>
      </w:r>
      <w:proofErr w:type="gramStart"/>
      <w:r w:rsidRPr="00E7126B">
        <w:rPr>
          <w:color w:val="000000"/>
        </w:rPr>
        <w:t>годовых</w:t>
      </w:r>
      <w:proofErr w:type="gramEnd"/>
      <w:r w:rsidRPr="00E7126B">
        <w:rPr>
          <w:color w:val="000000"/>
        </w:rPr>
        <w:t>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Цель кредита</w:t>
      </w:r>
      <w:r w:rsidRPr="00E7126B">
        <w:rPr>
          <w:color w:val="000000"/>
        </w:rPr>
        <w:t>: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Сумма кредита</w:t>
      </w:r>
      <w:r w:rsidRPr="00E7126B">
        <w:rPr>
          <w:color w:val="000000"/>
        </w:rPr>
        <w:t xml:space="preserve">: от 3 до 500 </w:t>
      </w:r>
      <w:proofErr w:type="gramStart"/>
      <w:r w:rsidRPr="00E7126B">
        <w:rPr>
          <w:color w:val="000000"/>
        </w:rPr>
        <w:t>млн</w:t>
      </w:r>
      <w:proofErr w:type="gramEnd"/>
      <w:r w:rsidRPr="00E7126B">
        <w:rPr>
          <w:color w:val="000000"/>
        </w:rPr>
        <w:t xml:space="preserve"> рублей (включительно).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Форма кредитования</w:t>
      </w:r>
      <w:r w:rsidRPr="00E7126B">
        <w:rPr>
          <w:color w:val="000000"/>
        </w:rPr>
        <w:t>: кредитная линия с лимитом выдачи.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Срок кредита</w:t>
      </w:r>
      <w:r w:rsidRPr="00E7126B">
        <w:rPr>
          <w:color w:val="000000"/>
        </w:rPr>
        <w:t>: не более 12 месяцев.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</w:r>
      <w:r w:rsidRPr="00E7126B">
        <w:rPr>
          <w:color w:val="000000"/>
          <w:u w:val="single"/>
          <w:bdr w:val="none" w:sz="0" w:space="0" w:color="auto" w:frame="1"/>
        </w:rPr>
        <w:t>Ставка при кредитовании</w:t>
      </w:r>
      <w:r w:rsidRPr="00E7126B">
        <w:rPr>
          <w:color w:val="000000"/>
        </w:rPr>
        <w:t>: для субъектов малого бизнеса – 10,6% годовых, для субъектов среднего бизнеса – 9,6% годовых, при субсидировании процентной ставки по программам Минсельхоза Российской Федерации процентная ставка – 5% годовых.               </w:t>
      </w:r>
      <w:r w:rsidRPr="00E7126B">
        <w:rPr>
          <w:rStyle w:val="apple-converted-space"/>
          <w:color w:val="000000"/>
        </w:rPr>
        <w:t> </w:t>
      </w:r>
      <w:r w:rsidRPr="00E7126B">
        <w:rPr>
          <w:color w:val="000000"/>
        </w:rPr>
        <w:br/>
        <w:t>Дополнительные комиссии и сборы отсутствуют.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lastRenderedPageBreak/>
        <w:t>Гарантийная поддержка в рамках Национальной гарантийной системы.</w:t>
      </w:r>
      <w:r w:rsidRPr="00E7126B">
        <w:rPr>
          <w:color w:val="000000"/>
        </w:rPr>
        <w:t> 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АО «МСП Банк» способствует развитию малого и среднего бизнеса, предоставляя субъектам малого и среднего предпринимательства (далее - МСП) прямые гарантии для получения банковских кредитов и позволяя воспользоваться кредитными ресурсами при недостаточности залогового обеспечения.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Реализуя свои функции и полномочия, АО «МСП Банк» выступает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С появлением на рынке гарантийных продуктов получение кредитов для субъектов МСП станет более простым и доступным. МСП Банк преследует цели значительного повышения объемов кредитования сферы МСП и стимулирования банков к созданию условий доступности кредитных продуктов.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Получение гарантийных продуктов доступно субъектам МСП, желающим получить кредиты в банках-партнерах МСП Банка.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Наряду с гарантиями МСП Банка в качестве обеспечения исполнения кредитных обязательств могут быть привлечены поручительства региональных гарантийных организаций.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color w:val="000000"/>
          <w:bdr w:val="none" w:sz="0" w:space="0" w:color="auto" w:frame="1"/>
        </w:rPr>
        <w:t>Каталог гарантийных продуктов </w:t>
      </w:r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1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 xml:space="preserve">Прямая гарантия для обеспечения </w:t>
        </w:r>
        <w:proofErr w:type="spellStart"/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реструктурируемых</w:t>
        </w:r>
        <w:proofErr w:type="spellEnd"/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/рефинансируемых кредитов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2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кредитов на исполнение контрактов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3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финансирования индустриальных парков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4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гарантия, выдаваемая совместно с поручительством РГО (СОГАРАНТИЯ)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5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выданных кредитов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6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кредитов для неторгового сектора с целью пополнения оборотных средств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7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инвестиций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8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застройщиков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19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гарантии исполнения контракта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20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обеспечения кредитов предприятиям, зарегистрированным в республике Крым и/или городе федерального значения Севастополь</w:t>
        </w:r>
      </w:hyperlink>
    </w:p>
    <w:p w:rsidR="00534EC0" w:rsidRPr="00E7126B" w:rsidRDefault="00C60A9C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hyperlink r:id="rId21" w:history="1"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Прямая гарантия для Дальнего Востока и моногородов, выдаваемая совместно с поручительством РГО (</w:t>
        </w:r>
        <w:proofErr w:type="spellStart"/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>согарантия</w:t>
        </w:r>
        <w:proofErr w:type="spellEnd"/>
        <w:r w:rsidR="00534EC0" w:rsidRPr="00E7126B">
          <w:rPr>
            <w:rStyle w:val="a5"/>
            <w:b/>
            <w:bCs/>
            <w:color w:val="037C35"/>
            <w:bdr w:val="none" w:sz="0" w:space="0" w:color="auto" w:frame="1"/>
          </w:rPr>
          <w:t xml:space="preserve"> для Дальнего Востока и моногородов)</w:t>
        </w:r>
      </w:hyperlink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6"/>
          <w:color w:val="000000"/>
          <w:bdr w:val="none" w:sz="0" w:space="0" w:color="auto" w:frame="1"/>
        </w:rPr>
        <w:t> </w:t>
      </w:r>
    </w:p>
    <w:p w:rsidR="00534EC0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000000"/>
          <w:bdr w:val="none" w:sz="0" w:space="0" w:color="auto" w:frame="1"/>
        </w:rPr>
      </w:pPr>
      <w:r w:rsidRPr="00E7126B">
        <w:rPr>
          <w:rStyle w:val="a6"/>
          <w:color w:val="000000"/>
          <w:bdr w:val="none" w:sz="0" w:space="0" w:color="auto" w:frame="1"/>
        </w:rPr>
        <w:t xml:space="preserve">Более подробно о гарантийных продуктах можно ознакомится на сайте  АО «МСП Банк» </w:t>
      </w:r>
      <w:proofErr w:type="gramStart"/>
      <w:r w:rsidRPr="00E7126B">
        <w:rPr>
          <w:rStyle w:val="a6"/>
          <w:color w:val="000000"/>
          <w:bdr w:val="none" w:sz="0" w:space="0" w:color="auto" w:frame="1"/>
        </w:rPr>
        <w:t xml:space="preserve">по </w:t>
      </w:r>
      <w:proofErr w:type="spellStart"/>
      <w:r w:rsidRPr="00E7126B">
        <w:rPr>
          <w:rStyle w:val="a6"/>
          <w:color w:val="000000"/>
          <w:bdr w:val="none" w:sz="0" w:space="0" w:color="auto" w:frame="1"/>
        </w:rPr>
        <w:t>сылке</w:t>
      </w:r>
      <w:proofErr w:type="spellEnd"/>
      <w:proofErr w:type="gramEnd"/>
      <w:r w:rsidRPr="00E7126B">
        <w:rPr>
          <w:rStyle w:val="a6"/>
          <w:color w:val="000000"/>
          <w:bdr w:val="none" w:sz="0" w:space="0" w:color="auto" w:frame="1"/>
        </w:rPr>
        <w:t>: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rStyle w:val="a4"/>
          <w:i/>
          <w:iCs/>
          <w:color w:val="000000"/>
          <w:bdr w:val="none" w:sz="0" w:space="0" w:color="auto" w:frame="1"/>
        </w:rPr>
        <w:t>http://www.mspbank.ru/Predprinimatelyam/Garantiynaya_podderzhka_ot_NGS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  <w:u w:val="single"/>
          <w:bdr w:val="none" w:sz="0" w:space="0" w:color="auto" w:frame="1"/>
        </w:rPr>
        <w:t>Эксперты АО «МСП Банк» по вопросам гарантийной поддержки: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Лебединская Антонина Валерьевна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Управляющий директор Департамента отраслевых и региональных программ Дирекции «Фронт-офис»</w:t>
      </w:r>
      <w:r>
        <w:rPr>
          <w:color w:val="000000"/>
        </w:rPr>
        <w:t xml:space="preserve"> </w:t>
      </w:r>
      <w:r w:rsidRPr="00E7126B">
        <w:rPr>
          <w:color w:val="000000"/>
        </w:rPr>
        <w:t>тел: +7 (495) 783-7998, доб. 0408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Никифорова Татьяна Сергеевна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Управляющий директор Департамента отраслевых и региональных программ Дирекции «Фронт-офис»</w:t>
      </w:r>
    </w:p>
    <w:p w:rsidR="00534EC0" w:rsidRPr="00E7126B" w:rsidRDefault="00534EC0" w:rsidP="00534EC0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</w:rPr>
      </w:pPr>
      <w:r w:rsidRPr="00E7126B">
        <w:rPr>
          <w:color w:val="000000"/>
        </w:rPr>
        <w:t>тел: +7 (495) 783-7998, доб. 0423</w:t>
      </w:r>
    </w:p>
    <w:p w:rsidR="00753D70" w:rsidRDefault="00C60A9C"/>
    <w:sectPr w:rsidR="0075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B"/>
    <w:rsid w:val="00177B8B"/>
    <w:rsid w:val="00486614"/>
    <w:rsid w:val="00534EC0"/>
    <w:rsid w:val="006F5285"/>
    <w:rsid w:val="00871D2A"/>
    <w:rsid w:val="00C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EC0"/>
    <w:rPr>
      <w:b/>
      <w:bCs/>
    </w:rPr>
  </w:style>
  <w:style w:type="character" w:customStyle="1" w:styleId="apple-converted-space">
    <w:name w:val="apple-converted-space"/>
    <w:basedOn w:val="a0"/>
    <w:rsid w:val="00534EC0"/>
  </w:style>
  <w:style w:type="character" w:styleId="a5">
    <w:name w:val="Hyperlink"/>
    <w:basedOn w:val="a0"/>
    <w:uiPriority w:val="99"/>
    <w:semiHidden/>
    <w:unhideWhenUsed/>
    <w:rsid w:val="00534EC0"/>
    <w:rPr>
      <w:color w:val="0000FF"/>
      <w:u w:val="single"/>
    </w:rPr>
  </w:style>
  <w:style w:type="character" w:styleId="a6">
    <w:name w:val="Emphasis"/>
    <w:basedOn w:val="a0"/>
    <w:uiPriority w:val="20"/>
    <w:qFormat/>
    <w:rsid w:val="00534E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EC0"/>
    <w:rPr>
      <w:b/>
      <w:bCs/>
    </w:rPr>
  </w:style>
  <w:style w:type="character" w:customStyle="1" w:styleId="apple-converted-space">
    <w:name w:val="apple-converted-space"/>
    <w:basedOn w:val="a0"/>
    <w:rsid w:val="00534EC0"/>
  </w:style>
  <w:style w:type="character" w:styleId="a5">
    <w:name w:val="Hyperlink"/>
    <w:basedOn w:val="a0"/>
    <w:uiPriority w:val="99"/>
    <w:semiHidden/>
    <w:unhideWhenUsed/>
    <w:rsid w:val="00534EC0"/>
    <w:rPr>
      <w:color w:val="0000FF"/>
      <w:u w:val="single"/>
    </w:rPr>
  </w:style>
  <w:style w:type="character" w:styleId="a6">
    <w:name w:val="Emphasis"/>
    <w:basedOn w:val="a0"/>
    <w:uiPriority w:val="20"/>
    <w:qFormat/>
    <w:rsid w:val="00534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13" Type="http://schemas.openxmlformats.org/officeDocument/2006/relationships/hyperlink" Target="http://www.mspbank.ru/Predprinimatelyam/Garantiynaya_podderzhka_ot_NGS/Produktyi_i_uslugi/Pryamaya_garantiya_dlya_obespecheniya_finansirovaniya_industrialnyih_parkov" TargetMode="External"/><Relationship Id="rId18" Type="http://schemas.openxmlformats.org/officeDocument/2006/relationships/hyperlink" Target="http://www.mspbank.ru/Predprinimatelyam/Garantiynaya_podderzhka_ot_NGS/Produktyi_i_uslugi/Pryamaya_garantiya_dlya_zastroyschik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spbank.ru/Predprinimatelyam/Garantiynaya_podderzhka_ot_NGS/Produktyi_i_uslugi/Pryamaya_garantiya_dlya_Dalnego_Vostoka_i_monogorodov" TargetMode="Externa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hyperlink" Target="http://www.mspbank.ru/Predprinimatelyam/Garantiynaya_podderzhka_ot_NGS/Produktyi_i_uslugi/Pryamaya_garantiya_dlya_obespecheniya_kreditov_na_ispolnenie_kontraktov" TargetMode="External"/><Relationship Id="rId17" Type="http://schemas.openxmlformats.org/officeDocument/2006/relationships/hyperlink" Target="http://www.mspbank.ru/Predprinimatelyam/Garantiynaya_podderzhka_ot_NGS/Produktyi_i_uslugi/Pryamaya_garantiya_dlya_investitsi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spbank.ru/Predprinimatelyam/Garantiynaya_podderzhka_ot_NGS/Produktyi_i_uslugi/Pryamaya_garantiya_dlya_obespecheniya_kreditov_dlya_netorgovogo_sektora_s_tselyu_popolneniya_oborotnyih_sredstv" TargetMode="External"/><Relationship Id="rId20" Type="http://schemas.openxmlformats.org/officeDocument/2006/relationships/hyperlink" Target="http://www.mspbank.ru/Predprinimatelyam/Garantiynaya_podderzhka_ot_NGS/Produktyi_i_uslugi/Pryamaya_garantiya_dlya_obespecheniya_kreditov_predpriyatiyam_zaregistrirovannyim_v_respublike_Kryim_i_ili_gorode_federalnogo_znacheniya_Sevastopo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pbank.ru/Predprinimatelyam/direct-credit" TargetMode="External"/><Relationship Id="rId11" Type="http://schemas.openxmlformats.org/officeDocument/2006/relationships/hyperlink" Target="http://www.mspbank.ru/Predprinimatelyam/Garantiynaya_podderzhka_ot_NGS/Produktyi_i_uslugi/Pryamaya_garantiya_dlya_obespecheniya_restrukturiruemyih_refinansiruemyih_kreditov" TargetMode="External"/><Relationship Id="rId5" Type="http://schemas.openxmlformats.org/officeDocument/2006/relationships/hyperlink" Target="https://www.mspbank.ru/Predprinimatelyam/Trebovaniya_k_subjektam_MSP" TargetMode="External"/><Relationship Id="rId15" Type="http://schemas.openxmlformats.org/officeDocument/2006/relationships/hyperlink" Target="http://www.mspbank.ru/Predprinimatelyam/Garantiynaya_podderzhka_ot_NGS/Produktyi_i_uslugi/Pryamaya_garantiya_dlya_obespecheniya_vyidannyih_kredit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spbank.ru/Predprinimatelyam/direct-credit" TargetMode="External"/><Relationship Id="rId19" Type="http://schemas.openxmlformats.org/officeDocument/2006/relationships/hyperlink" Target="http://www.mspbank.ru/Predprinimatelyam/Garantiynaya_podderzhka_ot_NGS/Produktyi_i_uslugi/Pryamaya_garantiya_dlya_obespecheniya_garantii_ispolneniya_kontrak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direct-credit" TargetMode="External"/><Relationship Id="rId14" Type="http://schemas.openxmlformats.org/officeDocument/2006/relationships/hyperlink" Target="http://www.mspbank.ru/Predprinimatelyam/Garantiynaya_podderzhka_ot_NGS/Produktyi_i_uslugi/Pryamaya_garantiya_vyidavaemaya_sovmestno_s_poruchitelstvom_R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Администрация1</cp:lastModifiedBy>
  <cp:revision>2</cp:revision>
  <dcterms:created xsi:type="dcterms:W3CDTF">2023-06-08T10:37:00Z</dcterms:created>
  <dcterms:modified xsi:type="dcterms:W3CDTF">2023-06-08T10:37:00Z</dcterms:modified>
</cp:coreProperties>
</file>